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="276" w:lineRule="auto"/>
        <w:ind w:right="-568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Título do artigo em português</w:t>
      </w:r>
    </w:p>
    <w:p w:rsidR="00000000" w:rsidDel="00000000" w:rsidP="00000000" w:rsidRDefault="00000000" w:rsidRPr="00000000" w14:paraId="00000002">
      <w:pPr>
        <w:spacing w:after="0" w:line="276" w:lineRule="auto"/>
        <w:ind w:right="-568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(Fonte Georgia ou Arial – Tamanho 14 – centralizado –Sem caixa alta)</w:t>
      </w:r>
    </w:p>
    <w:p w:rsidR="00000000" w:rsidDel="00000000" w:rsidP="00000000" w:rsidRDefault="00000000" w:rsidRPr="00000000" w14:paraId="00000003">
      <w:pPr>
        <w:spacing w:after="0" w:line="276" w:lineRule="auto"/>
        <w:ind w:right="-568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Título do artigo em L. estrangeira</w:t>
      </w:r>
    </w:p>
    <w:p w:rsidR="00000000" w:rsidDel="00000000" w:rsidP="00000000" w:rsidRDefault="00000000" w:rsidRPr="00000000" w14:paraId="00000004">
      <w:pPr>
        <w:spacing w:after="0" w:line="276" w:lineRule="auto"/>
        <w:ind w:right="-568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(Fonte Georgia ou Arial – Tamanho 14 – centralizado –Sem caixa alta)</w:t>
      </w:r>
    </w:p>
    <w:p w:rsidR="00000000" w:rsidDel="00000000" w:rsidP="00000000" w:rsidRDefault="00000000" w:rsidRPr="00000000" w14:paraId="00000005">
      <w:pPr>
        <w:spacing w:after="0" w:line="276" w:lineRule="auto"/>
        <w:ind w:right="-568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right="-568"/>
        <w:jc w:val="center"/>
        <w:rPr>
          <w:rFonts w:ascii="Georgia" w:cs="Georgia" w:eastAsia="Georgia" w:hAnsi="Georgia"/>
          <w:color w:val="d0cec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right="-568"/>
        <w:jc w:val="right"/>
        <w:rPr>
          <w:rFonts w:ascii="Georgia" w:cs="Georgia" w:eastAsia="Georgia" w:hAnsi="Georgia"/>
          <w:color w:val="d0cece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</w:rPr>
        <mc:AlternateContent>
          <mc:Choice Requires="wpg">
            <w:drawing>
              <wp:inline distB="0" distT="0" distL="0" distR="0">
                <wp:extent cx="321310" cy="321310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94870" y="362887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21310" cy="321310"/>
                <wp:effectExtent b="0" l="0" r="0" 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310" cy="3213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Nome do 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right="-568"/>
        <w:jc w:val="right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Maior titulação; vínculo institucional; email; Orcid</w:t>
      </w:r>
    </w:p>
    <w:p w:rsidR="00000000" w:rsidDel="00000000" w:rsidP="00000000" w:rsidRDefault="00000000" w:rsidRPr="00000000" w14:paraId="0000000A">
      <w:pPr>
        <w:spacing w:after="0" w:line="276" w:lineRule="auto"/>
        <w:ind w:right="-568"/>
        <w:jc w:val="right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right="-568"/>
        <w:jc w:val="both"/>
        <w:rPr>
          <w:rFonts w:ascii="Georgia" w:cs="Georgia" w:eastAsia="Georgia" w:hAnsi="Georgia"/>
          <w:color w:val="d0cec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right="-568"/>
        <w:jc w:val="both"/>
        <w:rPr>
          <w:rFonts w:ascii="Georgia" w:cs="Georgia" w:eastAsia="Georgia" w:hAnsi="Georgia"/>
          <w:color w:val="d0cec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right="-568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Resumo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(Fonte Georgia/Arial, tamanho 10 – Justificado – Entre 100-150 palavras)</w:t>
      </w:r>
    </w:p>
    <w:p w:rsidR="00000000" w:rsidDel="00000000" w:rsidP="00000000" w:rsidRDefault="00000000" w:rsidRPr="00000000" w14:paraId="0000000E">
      <w:pPr>
        <w:spacing w:after="0" w:line="276" w:lineRule="auto"/>
        <w:ind w:right="-568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right="-568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:rsidR="00000000" w:rsidDel="00000000" w:rsidP="00000000" w:rsidRDefault="00000000" w:rsidRPr="00000000" w14:paraId="00000010">
      <w:pPr>
        <w:spacing w:after="0" w:line="276" w:lineRule="auto"/>
        <w:ind w:right="-568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Palavras-chave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: Primeira palavra. Segunda palavra. Terceira palavra. …</w:t>
      </w:r>
    </w:p>
    <w:p w:rsidR="00000000" w:rsidDel="00000000" w:rsidP="00000000" w:rsidRDefault="00000000" w:rsidRPr="00000000" w14:paraId="00000011">
      <w:pPr>
        <w:spacing w:after="0" w:line="276" w:lineRule="auto"/>
        <w:ind w:right="-56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right="-568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Abstract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(Fonte Georgia/Arial, tamanho 10 – Justificado – Entre 100-150 palavras)</w:t>
      </w:r>
    </w:p>
    <w:p w:rsidR="00000000" w:rsidDel="00000000" w:rsidP="00000000" w:rsidRDefault="00000000" w:rsidRPr="00000000" w14:paraId="00000013">
      <w:pPr>
        <w:spacing w:after="0" w:line="276" w:lineRule="auto"/>
        <w:ind w:right="-568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right="-568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right="-568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Keywords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: Primeira palavra. Segunda palavra. Terceira palavra. …</w:t>
      </w:r>
    </w:p>
    <w:p w:rsidR="00000000" w:rsidDel="00000000" w:rsidP="00000000" w:rsidRDefault="00000000" w:rsidRPr="00000000" w14:paraId="00000016">
      <w:pPr>
        <w:spacing w:after="0" w:line="276" w:lineRule="auto"/>
        <w:ind w:right="-568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right="-568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right="-568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(Fonte Georgia/Arial, 12 – negrito – Margeado à esquerda)</w:t>
      </w:r>
    </w:p>
    <w:p w:rsidR="00000000" w:rsidDel="00000000" w:rsidP="00000000" w:rsidRDefault="00000000" w:rsidRPr="00000000" w14:paraId="00000019">
      <w:pPr>
        <w:spacing w:line="276" w:lineRule="auto"/>
        <w:ind w:right="-568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(Elementos necessários na Introdução: problema, objetivos, método, conclusão)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      </w:t>
      </w:r>
    </w:p>
    <w:p w:rsidR="00000000" w:rsidDel="00000000" w:rsidP="00000000" w:rsidRDefault="00000000" w:rsidRPr="00000000" w14:paraId="0000001B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ind w:right="-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67"/>
        </w:tabs>
        <w:spacing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do tópico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(Sempre em negrito, sem caixa alta. Não numerar os títulos e subtítulos)</w:t>
      </w:r>
    </w:p>
    <w:p w:rsidR="00000000" w:rsidDel="00000000" w:rsidP="00000000" w:rsidRDefault="00000000" w:rsidRPr="00000000" w14:paraId="0000001F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ind w:right="-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67"/>
        </w:tabs>
        <w:spacing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do tópico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(Sempre em negrito, sem caixa alta. Não numerar os títulos e subtítulos)</w:t>
      </w:r>
    </w:p>
    <w:p w:rsidR="00000000" w:rsidDel="00000000" w:rsidP="00000000" w:rsidRDefault="00000000" w:rsidRPr="00000000" w14:paraId="00000024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ind w:right="-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67"/>
        </w:tabs>
        <w:spacing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do tópico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(Sempre em negrito, sem caixa alta. Não numerar os títulos e subtítulos)</w:t>
      </w:r>
    </w:p>
    <w:p w:rsidR="00000000" w:rsidDel="00000000" w:rsidP="00000000" w:rsidRDefault="00000000" w:rsidRPr="00000000" w14:paraId="0000002B">
      <w:pPr>
        <w:spacing w:after="0" w:line="360" w:lineRule="auto"/>
        <w:ind w:right="-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ind w:right="-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567"/>
        </w:tabs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31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ind w:right="-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ind w:right="-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567"/>
        </w:tabs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37">
      <w:pPr>
        <w:tabs>
          <w:tab w:val="left" w:leader="none" w:pos="567"/>
        </w:tabs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 ordem alfabética, e cronológica (quando de mesmo autor), seguindo as Normas ABNT (o título da obra em itálico)</w:t>
      </w:r>
    </w:p>
    <w:p w:rsidR="00000000" w:rsidDel="00000000" w:rsidP="00000000" w:rsidRDefault="00000000" w:rsidRPr="00000000" w14:paraId="00000038">
      <w:pPr>
        <w:tabs>
          <w:tab w:val="left" w:leader="none" w:pos="567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Exemplos: 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BAKHTIN, M. O discurso no romance.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______.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Questões de Literatura e Estética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 teoria do romance. São Paulo: UNESP, 1993.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Estética da criação verbal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Trad. do russo de Paulo Bezerra. São Paulo: Martins Fontes, 2003.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BAKHTIN/VOLOCHÍNOV, M.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Marxismo e filosofia da linguagem.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13a ed. São Paulo: Hucitec, 2012.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BEAUVOIR,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O segundo sexo: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experiência vivida. Tradução Sérgio Milliet. 5a ed. Rio de Janeiro: Nova Fronteira, 2019.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BUTLER, J.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Problemas de gênero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feminismo e subversão da identidade. Coleção Sujeito &amp; História. 11a ed. Tradução: Renato Aguiar. Rio de Janei- ro: Civilização Brasileira, 2016. 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MARQUES, R.; MORAIS, M. O gênero meme e o ensino de leitura: construindo sentidos, oportunizando conhecimento.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Discursividades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 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[S. l.]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v. 6, n. 1, p. 165–185, 2020. Disponível em: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https://revista.uepb.edu.br/REDISC/article/view/889. Acesso em: 06 jan. 2022.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ind w:right="-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ind w:right="-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ind w:right="-567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ind w:right="-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ind w:right="-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701" w:left="1701" w:right="1701" w:header="0" w:footer="4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spacing w:after="0" w:line="240" w:lineRule="auto"/>
      <w:rPr>
        <w:rFonts w:ascii="Garamond" w:cs="Garamond" w:eastAsia="Garamond" w:hAnsi="Garamond"/>
      </w:rPr>
    </w:pPr>
    <w:r w:rsidDel="00000000" w:rsidR="00000000" w:rsidRPr="00000000">
      <w:rPr>
        <w:rFonts w:ascii="Garamond" w:cs="Garamond" w:eastAsia="Garamond" w:hAnsi="Garamond"/>
        <w:rtl w:val="0"/>
      </w:rPr>
      <w:t xml:space="preserve">Discursividades | v. 17| n. 1, e-1712503, |jan./jun. 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-1701" w:firstLine="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-1155699</wp:posOffset>
              </wp:positionH>
              <wp:positionV relativeFrom="paragraph">
                <wp:posOffset>0</wp:posOffset>
              </wp:positionV>
              <wp:extent cx="7666355" cy="1070223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19173" y="3251239"/>
                        <a:ext cx="7653655" cy="1057523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lt1"/>
                          </a:gs>
                          <a:gs pos="12000">
                            <a:srgbClr val="F2F2F2"/>
                          </a:gs>
                          <a:gs pos="64000">
                            <a:schemeClr val="accent2"/>
                          </a:gs>
                          <a:gs pos="100000">
                            <a:schemeClr val="accent2"/>
                          </a:gs>
                        </a:gsLst>
                        <a:path path="circle">
                          <a:fillToRect b="50%" l="50%" r="50%" t="50%"/>
                        </a:path>
                        <a:tileRect/>
                      </a:gradFill>
                      <a:ln cap="flat" cmpd="sng" w="12700">
                        <a:solidFill>
                          <a:srgbClr val="42719B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ISSN: 2594-6269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-1155699</wp:posOffset>
              </wp:positionH>
              <wp:positionV relativeFrom="paragraph">
                <wp:posOffset>0</wp:posOffset>
              </wp:positionV>
              <wp:extent cx="7666355" cy="1070223"/>
              <wp:effectExtent b="0" l="0" r="0" t="0"/>
              <wp:wrapNone/>
              <wp:docPr id="1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66355" cy="107022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Garamond" w:cs="Garamond" w:eastAsia="Garamond" w:hAnsi="Garamond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uiPriority w:val="39"/>
    <w:rsid w:val="002342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0F1FCD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0F1F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0F1F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5A775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A7756"/>
  </w:style>
  <w:style w:type="paragraph" w:styleId="Rodap">
    <w:name w:val="footer"/>
    <w:basedOn w:val="Normal"/>
    <w:link w:val="RodapChar"/>
    <w:uiPriority w:val="99"/>
    <w:unhideWhenUsed w:val="1"/>
    <w:rsid w:val="005A775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A7756"/>
  </w:style>
  <w:style w:type="character" w:styleId="Hyperlink">
    <w:name w:val="Hyperlink"/>
    <w:basedOn w:val="Fontepargpadro"/>
    <w:uiPriority w:val="99"/>
    <w:rsid w:val="005A7756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22"/>
    <w:qFormat w:val="1"/>
    <w:rsid w:val="004909B6"/>
    <w:rPr>
      <w:b w:val="1"/>
      <w:bCs w:val="1"/>
    </w:rPr>
  </w:style>
  <w:style w:type="paragraph" w:styleId="referncias" w:customStyle="1">
    <w:name w:val="referncias"/>
    <w:basedOn w:val="Normal"/>
    <w:rsid w:val="00153E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CE51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CE51DA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E51D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E51D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E51DA"/>
    <w:rPr>
      <w:rFonts w:ascii="Segoe UI" w:cs="Segoe UI" w:hAnsi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92388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923888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D9197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DKKWX/gqcOjlM9sULYmSC0Z6pg==">CgMxLjA4AHIhMUxQNlVpWDBJNUpfenBxMlMweXlYb1BzRm9SUDN5bFc1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2019-08-04T13:24:00Z</dcterms:created>
  <dc:creator>pccli</dc:creator>
</cp:coreProperties>
</file>